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7E" w:rsidRPr="00C572B3" w:rsidRDefault="00E3487E" w:rsidP="00FD32DE">
      <w:pPr>
        <w:shd w:val="clear" w:color="auto" w:fill="FFFFFF"/>
        <w:spacing w:before="120" w:after="120" w:line="360" w:lineRule="auto"/>
        <w:ind w:firstLine="576"/>
        <w:jc w:val="both"/>
        <w:rPr>
          <w:rFonts w:ascii="Times New Roman" w:eastAsia="Times New Roman" w:hAnsi="Times New Roman" w:cs="Times New Roman"/>
          <w:color w:val="CCCCFF"/>
          <w:sz w:val="24"/>
          <w:szCs w:val="24"/>
        </w:rPr>
      </w:pPr>
      <w:bookmarkStart w:id="0" w:name="_GoBack"/>
      <w:bookmarkEnd w:id="0"/>
      <w:r w:rsidRPr="00C572B3">
        <w:rPr>
          <w:rFonts w:ascii="Times New Roman" w:eastAsia="Times New Roman" w:hAnsi="Times New Roman" w:cs="Times New Roman"/>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The </w:t>
      </w:r>
      <w:proofErr w:type="spellStart"/>
      <w:r w:rsidRPr="00C572B3">
        <w:rPr>
          <w:rFonts w:ascii="Times New Roman" w:eastAsia="Times New Roman" w:hAnsi="Times New Roman" w:cs="Times New Roman"/>
          <w:b/>
          <w:bCs/>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Borsa</w:t>
      </w:r>
      <w:proofErr w:type="spellEnd"/>
      <w:r w:rsidRPr="00C572B3">
        <w:rPr>
          <w:rFonts w:ascii="Times New Roman" w:eastAsia="Times New Roman" w:hAnsi="Times New Roman" w:cs="Times New Roman"/>
          <w:b/>
          <w:bCs/>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 xml:space="preserve"> İstanbul</w:t>
      </w:r>
      <w:r w:rsidRPr="00C572B3">
        <w:rPr>
          <w:rFonts w:ascii="Times New Roman" w:eastAsia="Times New Roman" w:hAnsi="Times New Roman" w:cs="Times New Roman"/>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 (abbreviated as </w:t>
      </w:r>
      <w:r w:rsidRPr="00C572B3">
        <w:rPr>
          <w:rFonts w:ascii="Times New Roman" w:eastAsia="Times New Roman" w:hAnsi="Times New Roman" w:cs="Times New Roman"/>
          <w:b/>
          <w:bCs/>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BIST</w:t>
      </w:r>
      <w:r w:rsidRPr="00C572B3">
        <w:rPr>
          <w:rFonts w:ascii="Times New Roman" w:eastAsia="Times New Roman" w:hAnsi="Times New Roman" w:cs="Times New Roman"/>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 is the sole exchange entity of Turkey combining the former Istanbul Stock Exchange (ISE), the Istanbul Gold Exchange and the Derivatives Exchange of Turkey (under one umbrella. It was established as an incorporated company with a founding capital of ₺ 423,234,000</w:t>
      </w:r>
      <w:hyperlink r:id="rId8" w:anchor="cite_note-6" w:history="1">
        <w:r w:rsidRPr="00C572B3">
          <w:rPr>
            <w:rFonts w:ascii="Times New Roman" w:eastAsia="Times New Roman" w:hAnsi="Times New Roman" w:cs="Times New Roman"/>
            <w:color w:val="CCCCFF"/>
            <w:sz w:val="24"/>
            <w:szCs w:val="24"/>
            <w:vertAlign w:val="superscript"/>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[6]</w:t>
        </w:r>
      </w:hyperlink>
      <w:r w:rsidRPr="00C572B3">
        <w:rPr>
          <w:rFonts w:ascii="Times New Roman" w:eastAsia="Times New Roman" w:hAnsi="Times New Roman" w:cs="Times New Roman"/>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 (approx. US$240 million) on April 3, 2013, and began to operate on April 5, 2013. Its slogan is </w:t>
      </w:r>
      <w:r w:rsidRPr="00C572B3">
        <w:rPr>
          <w:rFonts w:ascii="Times New Roman" w:eastAsia="Times New Roman" w:hAnsi="Times New Roman" w:cs="Times New Roman"/>
          <w:i/>
          <w:iCs/>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worth investing</w:t>
      </w:r>
      <w:r w:rsidRPr="00C572B3">
        <w:rPr>
          <w:rFonts w:ascii="Times New Roman" w:eastAsia="Times New Roman" w:hAnsi="Times New Roman" w:cs="Times New Roman"/>
          <w:color w:val="CCCCFF"/>
          <w:sz w:val="24"/>
          <w:szCs w:val="24"/>
          <w14:shadow w14:blurRad="50800" w14:dist="38100" w14:dir="5400000" w14:sx="100000" w14:sy="100000" w14:kx="0" w14:ky="0" w14:algn="t">
            <w14:srgbClr w14:val="000000">
              <w14:alpha w14:val="60000"/>
            </w14:srgbClr>
          </w14:shadow>
          <w14:reflection w14:blurRad="6350" w14:stA="55000" w14:stPos="0" w14:endA="50" w14:endPos="85000" w14:dist="0" w14:dir="5400000" w14:fadeDir="5400000" w14:sx="100000" w14:sy="-100000" w14:kx="0" w14:ky="0" w14:algn="bl"/>
          <w14:textFill>
            <w14:gradFill>
              <w14:gsLst>
                <w14:gs w14:pos="0">
                  <w14:srgbClr w14:val="CCCCFF"/>
                </w14:gs>
                <w14:gs w14:pos="17999">
                  <w14:srgbClr w14:val="99CCFF"/>
                </w14:gs>
                <w14:gs w14:pos="36000">
                  <w14:srgbClr w14:val="9966FF"/>
                </w14:gs>
                <w14:gs w14:pos="61000">
                  <w14:srgbClr w14:val="CC99FF"/>
                </w14:gs>
                <w14:gs w14:pos="82001">
                  <w14:srgbClr w14:val="99CCFF"/>
                </w14:gs>
                <w14:gs w14:pos="100000">
                  <w14:srgbClr w14:val="CCCCFF"/>
                </w14:gs>
              </w14:gsLst>
              <w14:lin w14:ang="5400000" w14:scaled="0"/>
            </w14:gradFill>
          </w14:textFill>
        </w:rPr>
        <w:t>.</w:t>
      </w:r>
      <w:r w:rsidRPr="00C572B3">
        <w:rPr>
          <w:rFonts w:ascii="Times New Roman" w:eastAsia="Times New Roman" w:hAnsi="Times New Roman" w:cs="Times New Roman"/>
          <w:color w:val="CCCCFF"/>
          <w:sz w:val="24"/>
          <w:szCs w:val="24"/>
        </w:rPr>
        <w:t xml:space="preserve"> </w:t>
      </w:r>
    </w:p>
    <w:p w:rsidR="00E3487E" w:rsidRPr="00FD32DE" w:rsidRDefault="00E3487E" w:rsidP="00FD32DE">
      <w:pPr>
        <w:shd w:val="clear" w:color="auto" w:fill="FFFFFF"/>
        <w:spacing w:before="120" w:after="120" w:line="360" w:lineRule="auto"/>
        <w:ind w:firstLine="576"/>
        <w:jc w:val="both"/>
        <w:rPr>
          <w:rFonts w:ascii="Times New Roman" w:eastAsia="Times New Roman" w:hAnsi="Times New Roman" w:cs="Times New Roman"/>
          <w:sz w:val="24"/>
          <w:szCs w:val="24"/>
          <w:vertAlign w:val="superscript"/>
        </w:rPr>
      </w:pPr>
      <w:r w:rsidRPr="00FD32DE">
        <w:rPr>
          <w:rFonts w:ascii="Times New Roman" w:eastAsia="Times New Roman" w:hAnsi="Times New Roman" w:cs="Times New Roman"/>
          <w:sz w:val="24"/>
          <w:szCs w:val="24"/>
        </w:rPr>
        <w:t xml:space="preserve">Shareholders of </w:t>
      </w:r>
      <w:proofErr w:type="spellStart"/>
      <w:r w:rsidRPr="00FD32DE">
        <w:rPr>
          <w:rFonts w:ascii="Times New Roman" w:eastAsia="Times New Roman" w:hAnsi="Times New Roman" w:cs="Times New Roman"/>
          <w:sz w:val="24"/>
          <w:szCs w:val="24"/>
        </w:rPr>
        <w:t>Borsa</w:t>
      </w:r>
      <w:proofErr w:type="spellEnd"/>
      <w:r w:rsidRPr="00FD32DE">
        <w:rPr>
          <w:rFonts w:ascii="Times New Roman" w:eastAsia="Times New Roman" w:hAnsi="Times New Roman" w:cs="Times New Roman"/>
          <w:sz w:val="24"/>
          <w:szCs w:val="24"/>
        </w:rPr>
        <w:t xml:space="preserve"> İstanbul are: 49% Government of Turkey, 41% IMKB, 5% VOB, 4% IMKB members, 1% IMKB brokers and 0.3% IAB members. It is planned that all the Government-owned shares will be offered for sale. Among the executives of the nine-member board of directors, which is presided by chairman </w:t>
      </w:r>
      <w:proofErr w:type="spellStart"/>
      <w:r w:rsidRPr="00FD32DE">
        <w:rPr>
          <w:rFonts w:ascii="Times New Roman" w:eastAsia="Times New Roman" w:hAnsi="Times New Roman" w:cs="Times New Roman"/>
          <w:sz w:val="24"/>
          <w:szCs w:val="24"/>
        </w:rPr>
        <w:t>Himmet</w:t>
      </w:r>
      <w:proofErr w:type="spellEnd"/>
      <w:r w:rsidRPr="00FD32DE">
        <w:rPr>
          <w:rFonts w:ascii="Times New Roman" w:eastAsia="Times New Roman" w:hAnsi="Times New Roman" w:cs="Times New Roman"/>
          <w:sz w:val="24"/>
          <w:szCs w:val="24"/>
        </w:rPr>
        <w:t xml:space="preserve"> </w:t>
      </w:r>
      <w:proofErr w:type="spellStart"/>
      <w:r w:rsidRPr="00FD32DE">
        <w:rPr>
          <w:rFonts w:ascii="Times New Roman" w:eastAsia="Times New Roman" w:hAnsi="Times New Roman" w:cs="Times New Roman"/>
          <w:sz w:val="24"/>
          <w:szCs w:val="24"/>
        </w:rPr>
        <w:t>Karadağ</w:t>
      </w:r>
      <w:proofErr w:type="spellEnd"/>
      <w:r w:rsidRPr="00FD32DE">
        <w:rPr>
          <w:rFonts w:ascii="Times New Roman" w:eastAsia="Times New Roman" w:hAnsi="Times New Roman" w:cs="Times New Roman"/>
          <w:sz w:val="24"/>
          <w:szCs w:val="24"/>
        </w:rPr>
        <w:t xml:space="preserve">, are former deputy chairman of ISE Osman </w:t>
      </w:r>
      <w:proofErr w:type="spellStart"/>
      <w:r w:rsidRPr="00FD32DE">
        <w:rPr>
          <w:rFonts w:ascii="Times New Roman" w:eastAsia="Times New Roman" w:hAnsi="Times New Roman" w:cs="Times New Roman"/>
          <w:sz w:val="24"/>
          <w:szCs w:val="24"/>
        </w:rPr>
        <w:t>Akyüz</w:t>
      </w:r>
      <w:proofErr w:type="spellEnd"/>
      <w:r w:rsidRPr="00FD32DE">
        <w:rPr>
          <w:rFonts w:ascii="Times New Roman" w:eastAsia="Times New Roman" w:hAnsi="Times New Roman" w:cs="Times New Roman"/>
          <w:sz w:val="24"/>
          <w:szCs w:val="24"/>
        </w:rPr>
        <w:t xml:space="preserve">, former head of VOB </w:t>
      </w:r>
      <w:proofErr w:type="spellStart"/>
      <w:r w:rsidRPr="00FD32DE">
        <w:rPr>
          <w:rFonts w:ascii="Times New Roman" w:eastAsia="Times New Roman" w:hAnsi="Times New Roman" w:cs="Times New Roman"/>
          <w:sz w:val="24"/>
          <w:szCs w:val="24"/>
        </w:rPr>
        <w:t>Işınsu</w:t>
      </w:r>
      <w:proofErr w:type="spellEnd"/>
      <w:r w:rsidRPr="00FD32DE">
        <w:rPr>
          <w:rFonts w:ascii="Times New Roman" w:eastAsia="Times New Roman" w:hAnsi="Times New Roman" w:cs="Times New Roman"/>
          <w:sz w:val="24"/>
          <w:szCs w:val="24"/>
        </w:rPr>
        <w:t xml:space="preserve"> </w:t>
      </w:r>
      <w:proofErr w:type="spellStart"/>
      <w:r w:rsidRPr="00FD32DE">
        <w:rPr>
          <w:rFonts w:ascii="Times New Roman" w:eastAsia="Times New Roman" w:hAnsi="Times New Roman" w:cs="Times New Roman"/>
          <w:sz w:val="24"/>
          <w:szCs w:val="24"/>
        </w:rPr>
        <w:t>Kestelli</w:t>
      </w:r>
      <w:proofErr w:type="spellEnd"/>
      <w:r w:rsidRPr="00FD32DE">
        <w:rPr>
          <w:rFonts w:ascii="Times New Roman" w:eastAsia="Times New Roman" w:hAnsi="Times New Roman" w:cs="Times New Roman"/>
          <w:sz w:val="24"/>
          <w:szCs w:val="24"/>
        </w:rPr>
        <w:t xml:space="preserve">, Merrill Lynch Investment Bank General Manager </w:t>
      </w:r>
      <w:proofErr w:type="spellStart"/>
      <w:r w:rsidRPr="00FD32DE">
        <w:rPr>
          <w:rFonts w:ascii="Times New Roman" w:eastAsia="Times New Roman" w:hAnsi="Times New Roman" w:cs="Times New Roman"/>
          <w:sz w:val="24"/>
          <w:szCs w:val="24"/>
        </w:rPr>
        <w:t>Hüseyin</w:t>
      </w:r>
      <w:proofErr w:type="spellEnd"/>
      <w:r w:rsidRPr="00FD32DE">
        <w:rPr>
          <w:rFonts w:ascii="Times New Roman" w:eastAsia="Times New Roman" w:hAnsi="Times New Roman" w:cs="Times New Roman"/>
          <w:sz w:val="24"/>
          <w:szCs w:val="24"/>
        </w:rPr>
        <w:t xml:space="preserve"> </w:t>
      </w:r>
      <w:proofErr w:type="spellStart"/>
      <w:r w:rsidRPr="00FD32DE">
        <w:rPr>
          <w:rFonts w:ascii="Times New Roman" w:eastAsia="Times New Roman" w:hAnsi="Times New Roman" w:cs="Times New Roman"/>
          <w:sz w:val="24"/>
          <w:szCs w:val="24"/>
        </w:rPr>
        <w:t>Kelezoğlu</w:t>
      </w:r>
      <w:proofErr w:type="spellEnd"/>
      <w:r w:rsidRPr="00FD32DE">
        <w:rPr>
          <w:rFonts w:ascii="Times New Roman" w:eastAsia="Times New Roman" w:hAnsi="Times New Roman" w:cs="Times New Roman"/>
          <w:sz w:val="24"/>
          <w:szCs w:val="24"/>
        </w:rPr>
        <w:t xml:space="preserve"> and Chairman of Turkish Association of Capital Market Intermediary Institutions Attila </w:t>
      </w:r>
      <w:proofErr w:type="spellStart"/>
      <w:r w:rsidRPr="00FD32DE">
        <w:rPr>
          <w:rFonts w:ascii="Times New Roman" w:eastAsia="Times New Roman" w:hAnsi="Times New Roman" w:cs="Times New Roman"/>
          <w:sz w:val="24"/>
          <w:szCs w:val="24"/>
        </w:rPr>
        <w:t>Köksal</w:t>
      </w:r>
      <w:proofErr w:type="spellEnd"/>
      <w:r w:rsidRPr="00FD32DE">
        <w:rPr>
          <w:rFonts w:ascii="Times New Roman" w:eastAsia="Times New Roman" w:hAnsi="Times New Roman" w:cs="Times New Roman"/>
          <w:sz w:val="24"/>
          <w:szCs w:val="24"/>
        </w:rPr>
        <w:t>.</w:t>
      </w:r>
    </w:p>
    <w:p w:rsidR="00E3487E" w:rsidRPr="00FD32DE" w:rsidRDefault="00E3487E" w:rsidP="00C572B3">
      <w:pPr>
        <w:pBdr>
          <w:top w:val="single" w:sz="12" w:space="1" w:color="FFC000"/>
          <w:left w:val="single" w:sz="12" w:space="4" w:color="FFC000"/>
          <w:bottom w:val="single" w:sz="12" w:space="1" w:color="FFC000"/>
          <w:right w:val="single" w:sz="12" w:space="4" w:color="FFC000"/>
        </w:pBdr>
        <w:shd w:val="clear" w:color="auto" w:fill="FFFFFF"/>
        <w:spacing w:before="120" w:after="120" w:line="360" w:lineRule="auto"/>
        <w:ind w:firstLine="576"/>
        <w:jc w:val="both"/>
        <w:rPr>
          <w:rFonts w:ascii="Times New Roman" w:eastAsia="Times New Roman" w:hAnsi="Times New Roman" w:cs="Times New Roman"/>
          <w:sz w:val="24"/>
          <w:szCs w:val="24"/>
        </w:rPr>
      </w:pPr>
      <w:r w:rsidRPr="00FD32DE">
        <w:rPr>
          <w:rFonts w:ascii="Times New Roman" w:eastAsia="Times New Roman" w:hAnsi="Times New Roman" w:cs="Times New Roman"/>
          <w:sz w:val="24"/>
          <w:szCs w:val="24"/>
        </w:rPr>
        <w:t>The origin of an organized securities market in Turkey has its roots in the second half of the 19th century. The first securities market in the Ottoman Empire was established in Istanbul in 1866 for refinancing the Ottoman foreign debt taken during the Crimean War (1853–1856) through government bonds. With a law in 1873 it was formally renamed as the </w:t>
      </w:r>
      <w:proofErr w:type="spellStart"/>
      <w:r w:rsidRPr="00FD32DE">
        <w:rPr>
          <w:rFonts w:ascii="Times New Roman" w:eastAsia="Times New Roman" w:hAnsi="Times New Roman" w:cs="Times New Roman"/>
          <w:sz w:val="24"/>
          <w:szCs w:val="24"/>
        </w:rPr>
        <w:t>Dersaadet</w:t>
      </w:r>
      <w:proofErr w:type="spellEnd"/>
      <w:r w:rsidRPr="00FD32DE">
        <w:rPr>
          <w:rFonts w:ascii="Times New Roman" w:eastAsia="Times New Roman" w:hAnsi="Times New Roman" w:cs="Times New Roman"/>
          <w:sz w:val="24"/>
          <w:szCs w:val="24"/>
        </w:rPr>
        <w:t xml:space="preserve"> Securities Exchange. It created a medium for European investors who were seeking higher returns in the vast Ottoman markets. Following the proclamation of the Turkish Republic, a new law was enacted in 1929 to reorganize the fledgling capital markets under the new name of "Istanbul Securities and Foreign Exchange Bourse".</w:t>
      </w:r>
    </w:p>
    <w:p w:rsidR="00E3487E" w:rsidRDefault="00E3487E" w:rsidP="00FD32DE">
      <w:pPr>
        <w:shd w:val="clear" w:color="auto" w:fill="FFFFFF"/>
        <w:spacing w:before="120" w:after="120" w:line="360" w:lineRule="auto"/>
        <w:ind w:firstLine="576"/>
        <w:jc w:val="both"/>
        <w:rPr>
          <w:rFonts w:ascii="Times New Roman" w:eastAsia="Times New Roman" w:hAnsi="Times New Roman" w:cs="Times New Roman"/>
          <w:sz w:val="24"/>
          <w:szCs w:val="24"/>
        </w:rPr>
      </w:pPr>
      <w:r w:rsidRPr="00FD32DE">
        <w:rPr>
          <w:rFonts w:ascii="Times New Roman" w:eastAsia="Times New Roman" w:hAnsi="Times New Roman" w:cs="Times New Roman"/>
          <w:sz w:val="24"/>
          <w:szCs w:val="24"/>
        </w:rPr>
        <w:t>Soon, the Bourse became very active and contributed substantially to the funding requirements of new enterprises across the country. However, its success was clouded by a string of events, including the Great Depression of 1929 and the impending World War II abroad which had taken their toll in the just developing business world in Turkey. During the industrial drive of the subsequent decades, there was a continuous increase in the number and size of joint stock companies, which began to open up their equity to the public. Those mature shares faced a strong and growing demand from mostly individual investors and some institutional investors.</w:t>
      </w:r>
    </w:p>
    <w:p w:rsidR="00C572B3" w:rsidRPr="00FD32DE" w:rsidRDefault="002D52AB" w:rsidP="002D52AB">
      <w:pPr>
        <w:shd w:val="clear" w:color="auto" w:fill="FFFFFF"/>
        <w:spacing w:before="120" w:after="120" w:line="360" w:lineRule="auto"/>
        <w:ind w:firstLine="5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14800" cy="2304103"/>
            <wp:effectExtent l="0" t="190500" r="0" b="267970"/>
            <wp:docPr id="1" name="Picture 1" descr="D:\CTIS 186\Jamel\Exams\Spring 2022 - 2023\Pic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TIS 186\Jamel\Exams\Spring 2022 - 2023\Pictur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304103"/>
                    </a:xfrm>
                    <a:prstGeom prst="ellipse">
                      <a:avLst/>
                    </a:prstGeom>
                    <a:ln w="63500" cap="rnd">
                      <a:solidFill>
                        <a:srgbClr val="333333"/>
                      </a:solidFill>
                    </a:ln>
                    <a:effectLst>
                      <a:outerShdw blurRad="50800" dist="38100" dir="8100000" algn="tr" rotWithShape="0">
                        <a:prstClr val="black">
                          <a:alpha val="40000"/>
                        </a:prstClr>
                      </a:outerShdw>
                      <a:softEdge rad="31750"/>
                    </a:effectLst>
                    <a:scene3d>
                      <a:camera prst="isometricRightUp"/>
                      <a:lightRig rig="contrasting" dir="t">
                        <a:rot lat="0" lon="0" rev="3000000"/>
                      </a:lightRig>
                    </a:scene3d>
                    <a:sp3d contourW="7620">
                      <a:bevelT w="95250" h="31750"/>
                      <a:contourClr>
                        <a:srgbClr val="333333"/>
                      </a:contourClr>
                    </a:sp3d>
                  </pic:spPr>
                </pic:pic>
              </a:graphicData>
            </a:graphic>
          </wp:inline>
        </w:drawing>
      </w:r>
    </w:p>
    <w:p w:rsidR="0060627B" w:rsidRDefault="00E3487E" w:rsidP="00FD32DE">
      <w:pPr>
        <w:shd w:val="clear" w:color="auto" w:fill="FFFFFF"/>
        <w:spacing w:before="120" w:after="120" w:line="360" w:lineRule="auto"/>
        <w:ind w:firstLine="576"/>
        <w:jc w:val="both"/>
        <w:rPr>
          <w:rFonts w:ascii="Times New Roman" w:eastAsia="Times New Roman" w:hAnsi="Times New Roman" w:cs="Times New Roman"/>
          <w:sz w:val="24"/>
          <w:szCs w:val="24"/>
        </w:rPr>
      </w:pPr>
      <w:r w:rsidRPr="00FD32DE">
        <w:rPr>
          <w:rFonts w:ascii="Times New Roman" w:eastAsia="Times New Roman" w:hAnsi="Times New Roman" w:cs="Times New Roman"/>
          <w:sz w:val="24"/>
          <w:szCs w:val="24"/>
        </w:rPr>
        <w:t>The early phase of the 1980s saw a marked improvement in the Turkish capital markets, both in regard to the legislative framework and the institutions required to set the stage for sound capital movements. In 1981, the "Capital Market Law" was enacted. The next year, the main regulatory body responsible for the supervision and regulation of the Turkish securities market, the Capital Markets Board based in Ankara, was established. A new decree was issued in October 1983 foreseeing the setting up of securities exchanges in the country. In October 1984, the "Regulations for the Establishment and Functions of Securities Exchanges" was published in the Official Gazette. The regulations concerning operational procedures were approved in the parliament and the Istanbul Stock Exchange was formally inaugurated at the end of 1985.</w:t>
      </w:r>
    </w:p>
    <w:tbl>
      <w:tblPr>
        <w:tblStyle w:val="MediumList1-Accent5"/>
        <w:tblW w:w="0" w:type="auto"/>
        <w:jc w:val="center"/>
        <w:tblLook w:val="04A0" w:firstRow="1" w:lastRow="0" w:firstColumn="1" w:lastColumn="0" w:noHBand="0" w:noVBand="1"/>
      </w:tblPr>
      <w:tblGrid>
        <w:gridCol w:w="3600"/>
        <w:gridCol w:w="3600"/>
      </w:tblGrid>
      <w:tr w:rsidR="00186949" w:rsidTr="0051688C">
        <w:trPr>
          <w:cnfStyle w:val="100000000000" w:firstRow="1" w:lastRow="0" w:firstColumn="0" w:lastColumn="0" w:oddVBand="0" w:evenVBand="0" w:oddHBand="0"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Pr="006F4F01" w:rsidRDefault="00186949" w:rsidP="00FD32DE">
            <w:pPr>
              <w:spacing w:before="120" w:after="120" w:line="360" w:lineRule="auto"/>
              <w:jc w:val="both"/>
              <w:rPr>
                <w:rFonts w:ascii="Times New Roman" w:eastAsia="Times New Roman" w:hAnsi="Times New Roman" w:cs="Times New Roman"/>
                <w:color w:val="202122"/>
                <w:sz w:val="24"/>
                <w:szCs w:val="24"/>
              </w:rPr>
            </w:pPr>
            <w:r w:rsidRPr="006F4F01">
              <w:rPr>
                <w:rFonts w:ascii="Times New Roman" w:eastAsia="Times New Roman" w:hAnsi="Times New Roman" w:cs="Times New Roman"/>
                <w:color w:val="202122"/>
                <w:sz w:val="24"/>
                <w:szCs w:val="24"/>
              </w:rPr>
              <w:t>Sector</w:t>
            </w:r>
          </w:p>
        </w:tc>
        <w:tc>
          <w:tcPr>
            <w:tcW w:w="3600" w:type="dxa"/>
          </w:tcPr>
          <w:p w:rsidR="00186949" w:rsidRPr="006F4F01" w:rsidRDefault="00186949" w:rsidP="006F4F01">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02122"/>
                <w:sz w:val="24"/>
                <w:szCs w:val="24"/>
              </w:rPr>
            </w:pPr>
            <w:r w:rsidRPr="006F4F01">
              <w:rPr>
                <w:rFonts w:ascii="Times New Roman" w:eastAsia="Times New Roman" w:hAnsi="Times New Roman" w:cs="Times New Roman"/>
                <w:b/>
                <w:color w:val="202122"/>
                <w:sz w:val="24"/>
                <w:szCs w:val="24"/>
              </w:rPr>
              <w:t>2022 Stocks’ Return</w:t>
            </w:r>
          </w:p>
        </w:tc>
      </w:tr>
      <w:tr w:rsidR="00186949" w:rsidTr="0051688C">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Banking</w:t>
            </w:r>
          </w:p>
        </w:tc>
        <w:tc>
          <w:tcPr>
            <w:tcW w:w="3600" w:type="dxa"/>
          </w:tcPr>
          <w:p w:rsidR="00186949" w:rsidRDefault="006F4F01" w:rsidP="006F4F01">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317.28 </w:t>
            </w:r>
            <w:r w:rsidR="00186949">
              <w:rPr>
                <w:rFonts w:ascii="Times New Roman" w:eastAsia="Times New Roman" w:hAnsi="Times New Roman" w:cs="Times New Roman"/>
                <w:color w:val="202122"/>
                <w:sz w:val="24"/>
                <w:szCs w:val="24"/>
              </w:rPr>
              <w:t>%</w:t>
            </w:r>
          </w:p>
        </w:tc>
      </w:tr>
      <w:tr w:rsidR="00186949" w:rsidTr="0051688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Food</w:t>
            </w:r>
          </w:p>
        </w:tc>
        <w:tc>
          <w:tcPr>
            <w:tcW w:w="3600" w:type="dxa"/>
          </w:tcPr>
          <w:p w:rsidR="00186949" w:rsidRDefault="006F4F01" w:rsidP="006F4F01">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299.18 </w:t>
            </w:r>
            <w:r w:rsidR="00186949">
              <w:rPr>
                <w:rFonts w:ascii="Times New Roman" w:eastAsia="Times New Roman" w:hAnsi="Times New Roman" w:cs="Times New Roman"/>
                <w:color w:val="202122"/>
                <w:sz w:val="24"/>
                <w:szCs w:val="24"/>
              </w:rPr>
              <w:t>%</w:t>
            </w:r>
          </w:p>
        </w:tc>
      </w:tr>
      <w:tr w:rsidR="00186949" w:rsidTr="0051688C">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Electricity</w:t>
            </w:r>
          </w:p>
        </w:tc>
        <w:tc>
          <w:tcPr>
            <w:tcW w:w="3600" w:type="dxa"/>
          </w:tcPr>
          <w:p w:rsidR="00186949" w:rsidRDefault="006F4F01" w:rsidP="006F4F01">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284.27 </w:t>
            </w:r>
            <w:r w:rsidR="00186949">
              <w:rPr>
                <w:rFonts w:ascii="Times New Roman" w:eastAsia="Times New Roman" w:hAnsi="Times New Roman" w:cs="Times New Roman"/>
                <w:color w:val="202122"/>
                <w:sz w:val="24"/>
                <w:szCs w:val="24"/>
              </w:rPr>
              <w:t>%</w:t>
            </w:r>
          </w:p>
        </w:tc>
      </w:tr>
      <w:tr w:rsidR="00186949" w:rsidTr="0051688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Holding</w:t>
            </w:r>
          </w:p>
        </w:tc>
        <w:tc>
          <w:tcPr>
            <w:tcW w:w="3600" w:type="dxa"/>
          </w:tcPr>
          <w:p w:rsidR="00186949" w:rsidRDefault="006F4F01" w:rsidP="006F4F01">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243.44 </w:t>
            </w:r>
            <w:r w:rsidR="00186949">
              <w:rPr>
                <w:rFonts w:ascii="Times New Roman" w:eastAsia="Times New Roman" w:hAnsi="Times New Roman" w:cs="Times New Roman"/>
                <w:color w:val="202122"/>
                <w:sz w:val="24"/>
                <w:szCs w:val="24"/>
              </w:rPr>
              <w:t>%</w:t>
            </w:r>
          </w:p>
        </w:tc>
      </w:tr>
      <w:tr w:rsidR="00186949" w:rsidTr="0051688C">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Communication</w:t>
            </w:r>
          </w:p>
        </w:tc>
        <w:tc>
          <w:tcPr>
            <w:tcW w:w="3600" w:type="dxa"/>
          </w:tcPr>
          <w:p w:rsidR="00186949" w:rsidRDefault="006F4F01" w:rsidP="006F4F01">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135.48 </w:t>
            </w:r>
            <w:r w:rsidR="00186949">
              <w:rPr>
                <w:rFonts w:ascii="Times New Roman" w:eastAsia="Times New Roman" w:hAnsi="Times New Roman" w:cs="Times New Roman"/>
                <w:color w:val="202122"/>
                <w:sz w:val="24"/>
                <w:szCs w:val="24"/>
              </w:rPr>
              <w:t>%</w:t>
            </w:r>
          </w:p>
        </w:tc>
      </w:tr>
      <w:tr w:rsidR="00186949" w:rsidTr="0051688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Default="00186949" w:rsidP="00FD32DE">
            <w:pPr>
              <w:spacing w:before="120" w:after="12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Durable Products</w:t>
            </w:r>
          </w:p>
        </w:tc>
        <w:tc>
          <w:tcPr>
            <w:tcW w:w="3600" w:type="dxa"/>
          </w:tcPr>
          <w:p w:rsidR="00186949" w:rsidRDefault="006F4F01" w:rsidP="006F4F01">
            <w:pPr>
              <w:keepNext/>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123.56 </w:t>
            </w:r>
            <w:r w:rsidR="00186949">
              <w:rPr>
                <w:rFonts w:ascii="Times New Roman" w:eastAsia="Times New Roman" w:hAnsi="Times New Roman" w:cs="Times New Roman"/>
                <w:color w:val="202122"/>
                <w:sz w:val="24"/>
                <w:szCs w:val="24"/>
              </w:rPr>
              <w:t>%</w:t>
            </w:r>
          </w:p>
        </w:tc>
      </w:tr>
      <w:tr w:rsidR="00186949" w:rsidTr="0051688C">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3600" w:type="dxa"/>
          </w:tcPr>
          <w:p w:rsidR="00186949" w:rsidRPr="006F4F01" w:rsidRDefault="006F4F01" w:rsidP="00186949">
            <w:pPr>
              <w:spacing w:before="120" w:after="120" w:line="360" w:lineRule="auto"/>
              <w:jc w:val="right"/>
              <w:rPr>
                <w:rFonts w:ascii="Times New Roman" w:eastAsia="Times New Roman" w:hAnsi="Times New Roman" w:cs="Times New Roman"/>
                <w:color w:val="202122"/>
                <w:sz w:val="24"/>
                <w:szCs w:val="24"/>
              </w:rPr>
            </w:pPr>
            <w:r w:rsidRPr="006F4F01">
              <w:rPr>
                <w:rFonts w:ascii="Times New Roman" w:eastAsia="Times New Roman" w:hAnsi="Times New Roman" w:cs="Times New Roman"/>
                <w:color w:val="202122"/>
                <w:sz w:val="24"/>
                <w:szCs w:val="24"/>
              </w:rPr>
              <w:t>Average</w:t>
            </w:r>
          </w:p>
        </w:tc>
        <w:tc>
          <w:tcPr>
            <w:tcW w:w="3600" w:type="dxa"/>
          </w:tcPr>
          <w:p w:rsidR="00186949" w:rsidRPr="006F4F01" w:rsidRDefault="006F4F01" w:rsidP="006F4F01">
            <w:pPr>
              <w:keepNext/>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02122"/>
                <w:sz w:val="24"/>
                <w:szCs w:val="24"/>
              </w:rPr>
            </w:pPr>
            <w:r w:rsidRPr="006F4F01">
              <w:rPr>
                <w:rFonts w:ascii="Times New Roman" w:eastAsia="Times New Roman" w:hAnsi="Times New Roman" w:cs="Times New Roman"/>
                <w:b/>
                <w:color w:val="202122"/>
                <w:sz w:val="24"/>
                <w:szCs w:val="24"/>
              </w:rPr>
              <w:fldChar w:fldCharType="begin"/>
            </w:r>
            <w:r w:rsidRPr="006F4F01">
              <w:rPr>
                <w:rFonts w:ascii="Times New Roman" w:eastAsia="Times New Roman" w:hAnsi="Times New Roman" w:cs="Times New Roman"/>
                <w:b/>
                <w:color w:val="202122"/>
                <w:sz w:val="24"/>
                <w:szCs w:val="24"/>
              </w:rPr>
              <w:instrText xml:space="preserve"> =average(b2:b7) \# "0.00" </w:instrText>
            </w:r>
            <w:r w:rsidRPr="006F4F01">
              <w:rPr>
                <w:rFonts w:ascii="Times New Roman" w:eastAsia="Times New Roman" w:hAnsi="Times New Roman" w:cs="Times New Roman"/>
                <w:b/>
                <w:color w:val="202122"/>
                <w:sz w:val="24"/>
                <w:szCs w:val="24"/>
              </w:rPr>
              <w:fldChar w:fldCharType="separate"/>
            </w:r>
            <w:r w:rsidRPr="006F4F01">
              <w:rPr>
                <w:rFonts w:ascii="Times New Roman" w:eastAsia="Times New Roman" w:hAnsi="Times New Roman" w:cs="Times New Roman"/>
                <w:b/>
                <w:noProof/>
                <w:color w:val="202122"/>
                <w:sz w:val="24"/>
                <w:szCs w:val="24"/>
              </w:rPr>
              <w:t>2.34</w:t>
            </w:r>
            <w:r w:rsidRPr="006F4F01">
              <w:rPr>
                <w:rFonts w:ascii="Times New Roman" w:eastAsia="Times New Roman" w:hAnsi="Times New Roman" w:cs="Times New Roman"/>
                <w:b/>
                <w:color w:val="202122"/>
                <w:sz w:val="24"/>
                <w:szCs w:val="24"/>
              </w:rPr>
              <w:fldChar w:fldCharType="end"/>
            </w:r>
            <w:r w:rsidRPr="006F4F01">
              <w:rPr>
                <w:rFonts w:ascii="Times New Roman" w:eastAsia="Times New Roman" w:hAnsi="Times New Roman" w:cs="Times New Roman"/>
                <w:b/>
                <w:color w:val="202122"/>
                <w:sz w:val="24"/>
                <w:szCs w:val="24"/>
              </w:rPr>
              <w:fldChar w:fldCharType="begin"/>
            </w:r>
            <w:r w:rsidRPr="006F4F01">
              <w:rPr>
                <w:rFonts w:ascii="Times New Roman" w:eastAsia="Times New Roman" w:hAnsi="Times New Roman" w:cs="Times New Roman"/>
                <w:b/>
                <w:color w:val="202122"/>
                <w:sz w:val="24"/>
                <w:szCs w:val="24"/>
              </w:rPr>
              <w:instrText xml:space="preserve"> AVERAGE(above) \# "0.00%" </w:instrText>
            </w:r>
            <w:r w:rsidRPr="006F4F01">
              <w:rPr>
                <w:rFonts w:ascii="Times New Roman" w:eastAsia="Times New Roman" w:hAnsi="Times New Roman" w:cs="Times New Roman"/>
                <w:b/>
                <w:color w:val="202122"/>
                <w:sz w:val="24"/>
                <w:szCs w:val="24"/>
              </w:rPr>
              <w:fldChar w:fldCharType="end"/>
            </w:r>
          </w:p>
        </w:tc>
      </w:tr>
    </w:tbl>
    <w:p w:rsidR="00A012AD" w:rsidRPr="00FD32DE" w:rsidRDefault="00186949" w:rsidP="0051688C">
      <w:pPr>
        <w:pStyle w:val="Caption"/>
        <w:jc w:val="center"/>
        <w:rPr>
          <w:rFonts w:ascii="Times New Roman" w:eastAsia="Times New Roman" w:hAnsi="Times New Roman" w:cs="Times New Roman"/>
          <w:color w:val="202122"/>
          <w:sz w:val="24"/>
          <w:szCs w:val="24"/>
        </w:rPr>
      </w:pPr>
      <w:r>
        <w:t xml:space="preserve">Table </w:t>
      </w:r>
      <w:fldSimple w:instr=" SEQ Table \* ARABIC ">
        <w:r>
          <w:rPr>
            <w:noProof/>
          </w:rPr>
          <w:t>1</w:t>
        </w:r>
      </w:fldSimple>
      <w:r>
        <w:t xml:space="preserve">: </w:t>
      </w:r>
      <w:proofErr w:type="spellStart"/>
      <w:r>
        <w:t>Borsa</w:t>
      </w:r>
      <w:proofErr w:type="spellEnd"/>
      <w:r>
        <w:t xml:space="preserve"> Istanbul Performance by Sector - Year 2022</w:t>
      </w:r>
    </w:p>
    <w:sectPr w:rsidR="00A012AD" w:rsidRPr="00FD32DE" w:rsidSect="00FD32DE">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DE" w:rsidRDefault="00FD32DE" w:rsidP="00FD32DE">
      <w:pPr>
        <w:spacing w:after="0" w:line="240" w:lineRule="auto"/>
      </w:pPr>
      <w:r>
        <w:separator/>
      </w:r>
    </w:p>
  </w:endnote>
  <w:endnote w:type="continuationSeparator" w:id="0">
    <w:p w:rsidR="00FD32DE" w:rsidRDefault="00FD32DE" w:rsidP="00FD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19" w:rsidRDefault="004B0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2"/>
      <w:gridCol w:w="9616"/>
    </w:tblGrid>
    <w:tr w:rsidR="00FD32DE">
      <w:tc>
        <w:tcPr>
          <w:tcW w:w="918" w:type="dxa"/>
        </w:tcPr>
        <w:p w:rsidR="00FD32DE" w:rsidRDefault="00FD32D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64C6F" w:rsidRPr="00364C6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D32DE" w:rsidRDefault="00FD32DE">
          <w:pPr>
            <w:pStyle w:val="Footer"/>
          </w:pPr>
        </w:p>
      </w:tc>
    </w:tr>
  </w:tbl>
  <w:p w:rsidR="00FD32DE" w:rsidRDefault="00FD32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19" w:rsidRDefault="004B0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DE" w:rsidRDefault="00FD32DE" w:rsidP="00FD32DE">
      <w:pPr>
        <w:spacing w:after="0" w:line="240" w:lineRule="auto"/>
      </w:pPr>
      <w:r>
        <w:separator/>
      </w:r>
    </w:p>
  </w:footnote>
  <w:footnote w:type="continuationSeparator" w:id="0">
    <w:p w:rsidR="00FD32DE" w:rsidRDefault="00FD32DE" w:rsidP="00FD3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19" w:rsidRDefault="00C03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9954" o:spid="_x0000_s2050" type="#_x0000_t136" style="position:absolute;margin-left:0;margin-top:0;width:358.5pt;height:63pt;rotation:315;z-index:-251655168;mso-position-horizontal:center;mso-position-horizontal-relative:margin;mso-position-vertical:center;mso-position-vertical-relative:margin" o:allowincell="f" fillcolor="red" stroked="f">
          <v:fill opacity=".5"/>
          <v:textpath style="font-family:&quot;Cambria&quot;;font-size:54pt" string="Stock Exchan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DE" w:rsidRPr="00FD32DE" w:rsidRDefault="00C0331A" w:rsidP="00FD32DE">
    <w:pPr>
      <w:pStyle w:val="Header"/>
      <w:jc w:val="center"/>
      <w:rPr>
        <w:rFonts w:ascii="Algerian" w:hAnsi="Algerian"/>
        <w:b/>
        <w:sz w:val="64"/>
        <w:szCs w:val="64"/>
        <w:lang w:val="tr-T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9955" o:spid="_x0000_s2051" type="#_x0000_t136" style="position:absolute;left:0;text-align:left;margin-left:0;margin-top:0;width:358.5pt;height:63pt;rotation:315;z-index:-251653120;mso-position-horizontal:center;mso-position-horizontal-relative:margin;mso-position-vertical:center;mso-position-vertical-relative:margin" o:allowincell="f" fillcolor="red" stroked="f">
          <v:fill opacity=".5"/>
          <v:textpath style="font-family:&quot;Cambria&quot;;font-size:54pt" string="Stock Exchange"/>
          <w10:wrap anchorx="margin" anchory="margin"/>
        </v:shape>
      </w:pict>
    </w:r>
    <w:r w:rsidR="00FD32DE" w:rsidRPr="00FD32DE">
      <w:rPr>
        <w:rFonts w:ascii="Algerian" w:hAnsi="Algerian"/>
        <w:b/>
        <w:color w:val="92D050"/>
        <w:sz w:val="64"/>
        <w:szCs w:val="64"/>
        <w:lang w:val="tr-TR"/>
      </w:rPr>
      <w:t>Borsa Istanbul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19" w:rsidRDefault="00C03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09953" o:spid="_x0000_s2049" type="#_x0000_t136" style="position:absolute;margin-left:0;margin-top:0;width:358.5pt;height:63pt;rotation:315;z-index:-251657216;mso-position-horizontal:center;mso-position-horizontal-relative:margin;mso-position-vertical:center;mso-position-vertical-relative:margin" o:allowincell="f" fillcolor="red" stroked="f">
          <v:fill opacity=".5"/>
          <v:textpath style="font-family:&quot;Cambria&quot;;font-size:54pt" string="Stock Exchan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7E"/>
    <w:rsid w:val="00002953"/>
    <w:rsid w:val="0000700D"/>
    <w:rsid w:val="000544E3"/>
    <w:rsid w:val="00074A8C"/>
    <w:rsid w:val="00186949"/>
    <w:rsid w:val="0021732D"/>
    <w:rsid w:val="002D52AB"/>
    <w:rsid w:val="00307306"/>
    <w:rsid w:val="00360129"/>
    <w:rsid w:val="00364C6F"/>
    <w:rsid w:val="004835C8"/>
    <w:rsid w:val="004B0D19"/>
    <w:rsid w:val="004C4DBA"/>
    <w:rsid w:val="0051688C"/>
    <w:rsid w:val="00530CDB"/>
    <w:rsid w:val="00597F51"/>
    <w:rsid w:val="005A4F88"/>
    <w:rsid w:val="00685068"/>
    <w:rsid w:val="006C49FE"/>
    <w:rsid w:val="006D093A"/>
    <w:rsid w:val="006F4F01"/>
    <w:rsid w:val="007F43E0"/>
    <w:rsid w:val="008733F7"/>
    <w:rsid w:val="008B5F8A"/>
    <w:rsid w:val="008D17D1"/>
    <w:rsid w:val="008F5CE9"/>
    <w:rsid w:val="00911E5B"/>
    <w:rsid w:val="009A0F85"/>
    <w:rsid w:val="009C000E"/>
    <w:rsid w:val="009D1CE8"/>
    <w:rsid w:val="00A012AD"/>
    <w:rsid w:val="00A30A66"/>
    <w:rsid w:val="00C572B3"/>
    <w:rsid w:val="00C86D7A"/>
    <w:rsid w:val="00CD2FF8"/>
    <w:rsid w:val="00D225C6"/>
    <w:rsid w:val="00DF6363"/>
    <w:rsid w:val="00E3487E"/>
    <w:rsid w:val="00E762EF"/>
    <w:rsid w:val="00E95A7F"/>
    <w:rsid w:val="00EA69F3"/>
    <w:rsid w:val="00FA777D"/>
    <w:rsid w:val="00FD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2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D32DE"/>
  </w:style>
  <w:style w:type="paragraph" w:styleId="Footer">
    <w:name w:val="footer"/>
    <w:basedOn w:val="Normal"/>
    <w:link w:val="FooterChar"/>
    <w:uiPriority w:val="99"/>
    <w:unhideWhenUsed/>
    <w:rsid w:val="00FD32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D32DE"/>
  </w:style>
  <w:style w:type="paragraph" w:styleId="BalloonText">
    <w:name w:val="Balloon Text"/>
    <w:basedOn w:val="Normal"/>
    <w:link w:val="BalloonTextChar"/>
    <w:uiPriority w:val="99"/>
    <w:semiHidden/>
    <w:unhideWhenUsed/>
    <w:rsid w:val="002D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AB"/>
    <w:rPr>
      <w:rFonts w:ascii="Tahoma" w:hAnsi="Tahoma" w:cs="Tahoma"/>
      <w:sz w:val="16"/>
      <w:szCs w:val="16"/>
    </w:rPr>
  </w:style>
  <w:style w:type="table" w:styleId="TableGrid">
    <w:name w:val="Table Grid"/>
    <w:basedOn w:val="TableNormal"/>
    <w:uiPriority w:val="59"/>
    <w:rsid w:val="00A0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6949"/>
    <w:pPr>
      <w:spacing w:line="240" w:lineRule="auto"/>
    </w:pPr>
    <w:rPr>
      <w:b/>
      <w:bCs/>
      <w:color w:val="4F81BD" w:themeColor="accent1"/>
      <w:sz w:val="18"/>
      <w:szCs w:val="18"/>
    </w:rPr>
  </w:style>
  <w:style w:type="table" w:styleId="MediumList1-Accent5">
    <w:name w:val="Medium List 1 Accent 5"/>
    <w:basedOn w:val="TableNormal"/>
    <w:uiPriority w:val="65"/>
    <w:rsid w:val="006F4F0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2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D32DE"/>
  </w:style>
  <w:style w:type="paragraph" w:styleId="Footer">
    <w:name w:val="footer"/>
    <w:basedOn w:val="Normal"/>
    <w:link w:val="FooterChar"/>
    <w:uiPriority w:val="99"/>
    <w:unhideWhenUsed/>
    <w:rsid w:val="00FD32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D32DE"/>
  </w:style>
  <w:style w:type="paragraph" w:styleId="BalloonText">
    <w:name w:val="Balloon Text"/>
    <w:basedOn w:val="Normal"/>
    <w:link w:val="BalloonTextChar"/>
    <w:uiPriority w:val="99"/>
    <w:semiHidden/>
    <w:unhideWhenUsed/>
    <w:rsid w:val="002D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AB"/>
    <w:rPr>
      <w:rFonts w:ascii="Tahoma" w:hAnsi="Tahoma" w:cs="Tahoma"/>
      <w:sz w:val="16"/>
      <w:szCs w:val="16"/>
    </w:rPr>
  </w:style>
  <w:style w:type="table" w:styleId="TableGrid">
    <w:name w:val="Table Grid"/>
    <w:basedOn w:val="TableNormal"/>
    <w:uiPriority w:val="59"/>
    <w:rsid w:val="00A0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6949"/>
    <w:pPr>
      <w:spacing w:line="240" w:lineRule="auto"/>
    </w:pPr>
    <w:rPr>
      <w:b/>
      <w:bCs/>
      <w:color w:val="4F81BD" w:themeColor="accent1"/>
      <w:sz w:val="18"/>
      <w:szCs w:val="18"/>
    </w:rPr>
  </w:style>
  <w:style w:type="table" w:styleId="MediumList1-Accent5">
    <w:name w:val="Medium List 1 Accent 5"/>
    <w:basedOn w:val="TableNormal"/>
    <w:uiPriority w:val="65"/>
    <w:rsid w:val="006F4F0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00341">
      <w:bodyDiv w:val="1"/>
      <w:marLeft w:val="0"/>
      <w:marRight w:val="0"/>
      <w:marTop w:val="0"/>
      <w:marBottom w:val="0"/>
      <w:divBdr>
        <w:top w:val="none" w:sz="0" w:space="0" w:color="auto"/>
        <w:left w:val="none" w:sz="0" w:space="0" w:color="auto"/>
        <w:bottom w:val="none" w:sz="0" w:space="0" w:color="auto"/>
        <w:right w:val="none" w:sz="0" w:space="0" w:color="auto"/>
      </w:divBdr>
      <w:divsChild>
        <w:div w:id="6892585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rsa_Istanbu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7991-AE55-442E-A6B1-EF9A2EE4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2023-02-10T11:36:00Z</dcterms:created>
  <dcterms:modified xsi:type="dcterms:W3CDTF">2023-02-13T10:34:00Z</dcterms:modified>
</cp:coreProperties>
</file>